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35" w:rsidRPr="00E25DE3" w:rsidRDefault="00620635" w:rsidP="00620635">
      <w:pPr>
        <w:pStyle w:val="Kop1"/>
        <w:rPr>
          <w:rFonts w:cs="Arial"/>
          <w:i/>
          <w:sz w:val="24"/>
          <w:szCs w:val="24"/>
        </w:rPr>
      </w:pPr>
      <w:r w:rsidRPr="00E25DE3">
        <w:t>Competentiecheck Module 3 Ondersteunen, adviseren en begeleiden van mantelzorgers</w:t>
      </w:r>
    </w:p>
    <w:p w:rsidR="00620635" w:rsidRPr="00E25DE3" w:rsidRDefault="00620635" w:rsidP="00620635">
      <w:pPr>
        <w:spacing w:after="0" w:line="240" w:lineRule="auto"/>
        <w:rPr>
          <w:rFonts w:cs="Arial"/>
          <w:i/>
          <w:sz w:val="24"/>
          <w:szCs w:val="24"/>
        </w:rPr>
      </w:pPr>
    </w:p>
    <w:p w:rsidR="00620635" w:rsidRPr="00E25DE3" w:rsidRDefault="00620635" w:rsidP="00620635">
      <w:pPr>
        <w:spacing w:after="0" w:line="240" w:lineRule="auto"/>
        <w:rPr>
          <w:rFonts w:cs="Arial"/>
          <w:i/>
          <w:sz w:val="24"/>
          <w:szCs w:val="24"/>
        </w:rPr>
      </w:pPr>
      <w:r w:rsidRPr="00E25DE3">
        <w:rPr>
          <w:rFonts w:cs="Arial"/>
          <w:i/>
          <w:sz w:val="24"/>
          <w:szCs w:val="24"/>
        </w:rPr>
        <w:t>Competenties en succescriteria Module 3</w:t>
      </w:r>
    </w:p>
    <w:p w:rsidR="00620635" w:rsidRPr="00E25DE3" w:rsidRDefault="00620635" w:rsidP="00620635">
      <w:pPr>
        <w:spacing w:after="0" w:line="240" w:lineRule="auto"/>
        <w:rPr>
          <w:sz w:val="24"/>
          <w:szCs w:val="24"/>
        </w:rPr>
      </w:pPr>
    </w:p>
    <w:p w:rsidR="00620635" w:rsidRDefault="00620635" w:rsidP="00620635">
      <w:pPr>
        <w:spacing w:after="0" w:line="240" w:lineRule="auto"/>
        <w:rPr>
          <w:rFonts w:cs="Arial"/>
          <w:sz w:val="24"/>
          <w:szCs w:val="24"/>
        </w:rPr>
      </w:pPr>
      <w:r>
        <w:rPr>
          <w:rFonts w:cs="Arial"/>
          <w:sz w:val="24"/>
          <w:szCs w:val="24"/>
        </w:rPr>
        <w:t>Lees de studiegids H4 Leren en ontwikkelen.</w:t>
      </w:r>
    </w:p>
    <w:p w:rsidR="00620635" w:rsidRDefault="00620635" w:rsidP="00620635">
      <w:pPr>
        <w:spacing w:after="0" w:line="240" w:lineRule="auto"/>
        <w:rPr>
          <w:rFonts w:cs="Arial"/>
          <w:sz w:val="24"/>
          <w:szCs w:val="24"/>
        </w:rPr>
      </w:pPr>
      <w:r>
        <w:rPr>
          <w:rFonts w:cs="Arial"/>
          <w:sz w:val="24"/>
          <w:szCs w:val="24"/>
        </w:rPr>
        <w:t>Het doel van de competentiecheck is om per module je beginsituatie vast te stellen. Waar sta je aan de start van deze module?</w:t>
      </w:r>
    </w:p>
    <w:p w:rsidR="00620635" w:rsidRDefault="00620635" w:rsidP="00620635">
      <w:pPr>
        <w:spacing w:after="0" w:line="240" w:lineRule="auto"/>
        <w:rPr>
          <w:rFonts w:cs="Arial"/>
          <w:sz w:val="24"/>
          <w:szCs w:val="24"/>
        </w:rPr>
      </w:pPr>
      <w:r>
        <w:rPr>
          <w:rFonts w:cs="Arial"/>
          <w:sz w:val="24"/>
          <w:szCs w:val="24"/>
        </w:rPr>
        <w:t>Daarnaast is het een manier om je te focussen op de, te ontwikkelen competenties, in deze module.</w:t>
      </w:r>
    </w:p>
    <w:p w:rsidR="00620635" w:rsidRPr="00DE4573" w:rsidRDefault="00620635" w:rsidP="00620635">
      <w:pPr>
        <w:spacing w:after="0" w:line="240" w:lineRule="auto"/>
        <w:rPr>
          <w:rFonts w:cs="Arial"/>
          <w:sz w:val="24"/>
          <w:szCs w:val="24"/>
        </w:rPr>
      </w:pPr>
      <w:r w:rsidRPr="00E25DE3">
        <w:rPr>
          <w:rFonts w:cs="Arial"/>
          <w:sz w:val="24"/>
          <w:szCs w:val="24"/>
        </w:rPr>
        <w:t>Doe de competentiecheck.</w:t>
      </w:r>
      <w:r>
        <w:rPr>
          <w:rFonts w:cs="Arial"/>
          <w:sz w:val="24"/>
          <w:szCs w:val="24"/>
        </w:rPr>
        <w:t xml:space="preserve"> Ga vervolgens in gesprek met je begeleider over deze competentiecheck en jouw ontwikkeling en leerproces.</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418"/>
        <w:gridCol w:w="4394"/>
      </w:tblGrid>
      <w:tr w:rsidR="00620635" w:rsidRPr="00E25DE3" w:rsidTr="00620635">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r w:rsidRPr="00E25DE3">
              <w:rPr>
                <w:rFonts w:cs="Arial"/>
                <w:b/>
                <w:sz w:val="24"/>
                <w:szCs w:val="24"/>
              </w:rPr>
              <w:t>Competentie 6</w:t>
            </w:r>
          </w:p>
          <w:p w:rsidR="00620635" w:rsidRPr="00E25DE3" w:rsidRDefault="00620635" w:rsidP="008105D1">
            <w:pPr>
              <w:autoSpaceDE w:val="0"/>
              <w:autoSpaceDN w:val="0"/>
              <w:adjustRightInd w:val="0"/>
              <w:spacing w:after="0" w:line="240" w:lineRule="auto"/>
              <w:rPr>
                <w:rFonts w:cs="Arial"/>
                <w:b/>
                <w:sz w:val="24"/>
                <w:szCs w:val="24"/>
              </w:rPr>
            </w:pPr>
            <w:r w:rsidRPr="00E25DE3">
              <w:rPr>
                <w:rFonts w:cs="Arial"/>
                <w:b/>
                <w:sz w:val="24"/>
                <w:szCs w:val="24"/>
              </w:rPr>
              <w:t>Problemen signaleren en oplossen</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r>
              <w:rPr>
                <w:rFonts w:cs="Arial"/>
                <w:b/>
                <w:bCs/>
                <w:sz w:val="24"/>
                <w:szCs w:val="24"/>
              </w:rPr>
              <w:t>Score d</w:t>
            </w:r>
            <w:r w:rsidRPr="00E25DE3">
              <w:rPr>
                <w:rFonts w:cs="Arial"/>
                <w:b/>
                <w:bCs/>
                <w:sz w:val="24"/>
                <w:szCs w:val="24"/>
              </w:rPr>
              <w:t>eelnemer</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spacing w:after="0" w:line="240" w:lineRule="auto"/>
              <w:rPr>
                <w:rFonts w:cs="Arial"/>
                <w:b/>
                <w:bCs/>
                <w:sz w:val="24"/>
                <w:szCs w:val="24"/>
              </w:rPr>
            </w:pPr>
            <w:r w:rsidRPr="00E25DE3">
              <w:rPr>
                <w:rFonts w:cs="Arial"/>
                <w:b/>
                <w:bCs/>
                <w:sz w:val="24"/>
                <w:szCs w:val="24"/>
              </w:rPr>
              <w:t>Wat wanneer waar wie hoe ontwikkelen?</w:t>
            </w:r>
          </w:p>
        </w:tc>
      </w:tr>
      <w:tr w:rsidR="00620635" w:rsidRPr="00E25DE3" w:rsidTr="00620635">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r>
              <w:rPr>
                <w:rFonts w:cs="Arial"/>
                <w:b/>
                <w:sz w:val="24"/>
                <w:szCs w:val="24"/>
              </w:rPr>
              <w:t>1-10</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r w:rsidRPr="00E25DE3">
              <w:rPr>
                <w:rFonts w:cs="Arial"/>
                <w:sz w:val="24"/>
                <w:szCs w:val="24"/>
              </w:rPr>
              <w:t xml:space="preserve">6c Treedt proactief op wanneer mantelzorgers wegblijven of zich anders gaan gedragen, of wanneer andere verzorgenden hierop wijzen. Ze neemt dan contact op met de mantelzorgers. </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r w:rsidR="00620635" w:rsidRPr="00E25DE3" w:rsidTr="00620635">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r w:rsidRPr="00E25DE3">
              <w:rPr>
                <w:rFonts w:cs="Arial"/>
                <w:b/>
                <w:sz w:val="24"/>
                <w:szCs w:val="24"/>
              </w:rPr>
              <w:t>Competentie 8</w:t>
            </w:r>
          </w:p>
          <w:p w:rsidR="00620635" w:rsidRPr="00E25DE3" w:rsidRDefault="00620635" w:rsidP="008105D1">
            <w:pPr>
              <w:autoSpaceDE w:val="0"/>
              <w:autoSpaceDN w:val="0"/>
              <w:adjustRightInd w:val="0"/>
              <w:spacing w:after="0" w:line="240" w:lineRule="auto"/>
              <w:rPr>
                <w:rFonts w:cs="Arial"/>
                <w:b/>
                <w:sz w:val="24"/>
                <w:szCs w:val="24"/>
              </w:rPr>
            </w:pPr>
            <w:r w:rsidRPr="00E25DE3">
              <w:rPr>
                <w:rFonts w:cs="Arial"/>
                <w:b/>
                <w:sz w:val="24"/>
                <w:szCs w:val="24"/>
              </w:rPr>
              <w:t>Beroepseigen gedrag van de professie (professionaliteit)</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bCs/>
                <w:sz w:val="24"/>
                <w:szCs w:val="24"/>
              </w:rPr>
            </w:pPr>
          </w:p>
        </w:tc>
      </w:tr>
      <w:tr w:rsidR="00620635" w:rsidRPr="00E25DE3" w:rsidTr="00620635">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 xml:space="preserve">8d Is zich bewust van voorbeeldfunctie voor collega’s, stagiairs, vrijwilligers en mantelzorgers. </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8f Bemiddelt in complexe situaties (bijvoorbeeld tussen collega’s en mantelzorgers, tussen cliënten en collega’s en tussen cliënten onderling).</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b/>
                <w:sz w:val="24"/>
                <w:szCs w:val="24"/>
              </w:rPr>
            </w:pPr>
          </w:p>
        </w:tc>
      </w:tr>
      <w:tr w:rsidR="00620635" w:rsidRPr="00E25DE3" w:rsidTr="00620635">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spacing w:after="0" w:line="240" w:lineRule="auto"/>
              <w:rPr>
                <w:rFonts w:cs="Arial"/>
                <w:b/>
                <w:sz w:val="24"/>
                <w:szCs w:val="24"/>
              </w:rPr>
            </w:pPr>
            <w:r w:rsidRPr="00E25DE3">
              <w:rPr>
                <w:rFonts w:cs="Arial"/>
                <w:b/>
                <w:sz w:val="24"/>
                <w:szCs w:val="24"/>
              </w:rPr>
              <w:t>Competentie 9</w:t>
            </w:r>
          </w:p>
          <w:p w:rsidR="00620635" w:rsidRPr="00E25DE3" w:rsidRDefault="00620635" w:rsidP="008105D1">
            <w:pPr>
              <w:spacing w:after="0" w:line="240" w:lineRule="auto"/>
              <w:rPr>
                <w:rFonts w:cs="Arial"/>
                <w:b/>
                <w:sz w:val="24"/>
                <w:szCs w:val="24"/>
              </w:rPr>
            </w:pPr>
            <w:r w:rsidRPr="00E25DE3">
              <w:rPr>
                <w:rFonts w:cs="Arial"/>
                <w:b/>
                <w:sz w:val="24"/>
                <w:szCs w:val="24"/>
              </w:rPr>
              <w:t>Inhoudelijke deskundigheid op het gebied van psychogeriatrie</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spacing w:after="0" w:line="240" w:lineRule="auto"/>
              <w:rPr>
                <w:rFonts w:cs="Arial"/>
                <w:b/>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b/>
                <w:sz w:val="24"/>
                <w:szCs w:val="24"/>
              </w:rPr>
            </w:pPr>
          </w:p>
        </w:tc>
      </w:tr>
      <w:tr w:rsidR="00620635" w:rsidRPr="00E25DE3" w:rsidTr="00620635">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9t Kan kennis en ervaring overdragen aan collega’s en mantelzorgers</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b/>
                <w:sz w:val="24"/>
                <w:szCs w:val="24"/>
              </w:rPr>
            </w:pPr>
          </w:p>
        </w:tc>
      </w:tr>
      <w:tr w:rsidR="00620635" w:rsidRPr="00E25DE3" w:rsidTr="00620635">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spacing w:after="0" w:line="240" w:lineRule="auto"/>
              <w:rPr>
                <w:rFonts w:cs="Arial"/>
                <w:b/>
                <w:sz w:val="24"/>
                <w:szCs w:val="24"/>
              </w:rPr>
            </w:pPr>
            <w:r w:rsidRPr="00E25DE3">
              <w:rPr>
                <w:rFonts w:cs="Arial"/>
                <w:b/>
                <w:sz w:val="24"/>
                <w:szCs w:val="24"/>
              </w:rPr>
              <w:t>Competentie 11</w:t>
            </w:r>
          </w:p>
          <w:p w:rsidR="00620635" w:rsidRPr="00E25DE3" w:rsidRDefault="00620635" w:rsidP="008105D1">
            <w:pPr>
              <w:spacing w:after="0" w:line="240" w:lineRule="auto"/>
              <w:rPr>
                <w:rFonts w:cs="Arial"/>
                <w:b/>
                <w:sz w:val="24"/>
                <w:szCs w:val="24"/>
              </w:rPr>
            </w:pPr>
            <w:r w:rsidRPr="00E25DE3">
              <w:rPr>
                <w:rFonts w:cs="Arial"/>
                <w:b/>
                <w:sz w:val="24"/>
                <w:szCs w:val="24"/>
              </w:rPr>
              <w:t>Omgang met en ondersteunen van mantelzorgers</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spacing w:after="0" w:line="240" w:lineRule="auto"/>
              <w:rPr>
                <w:rFonts w:cs="Arial"/>
                <w:b/>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b/>
                <w:sz w:val="24"/>
                <w:szCs w:val="24"/>
              </w:rPr>
            </w:pPr>
          </w:p>
        </w:tc>
      </w:tr>
      <w:tr w:rsidR="00620635" w:rsidRPr="00E25DE3" w:rsidTr="00620635">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r w:rsidRPr="00E25DE3">
              <w:rPr>
                <w:rFonts w:cs="Arial"/>
                <w:b/>
                <w:sz w:val="24"/>
                <w:szCs w:val="24"/>
              </w:rPr>
              <w:lastRenderedPageBreak/>
              <w:t>Succescriteria:</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rFonts w:cs="Arial"/>
                <w:b/>
                <w:sz w:val="24"/>
                <w:szCs w:val="24"/>
              </w:rPr>
            </w:pPr>
            <w:bookmarkStart w:id="0" w:name="_GoBack"/>
            <w:bookmarkEnd w:id="0"/>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b/>
                <w:sz w:val="24"/>
                <w:szCs w:val="24"/>
              </w:rPr>
              <w:t xml:space="preserve">11a </w:t>
            </w:r>
            <w:r w:rsidRPr="00E25DE3">
              <w:rPr>
                <w:rFonts w:cs="Arial"/>
                <w:sz w:val="24"/>
                <w:szCs w:val="24"/>
              </w:rPr>
              <w:t xml:space="preserve">Onderhoudt contact met mantelzorgers van psychogeriatrische cliënten, informeert deze en probeert de mantelzorgers zoveel mogelijk bij de zorg te betrekken. </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 xml:space="preserve">11b Schat zorgzwaarte van de cliënt en het beroep op de draagkracht van mantelzorgers in, maakt afspraken over de bijdrage van de mantelzorger en communiceert helder over de verantwoordelijkheden en de grenzen van zorg en mantelzorg. </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11c Maakt duidelijke afspraken met de mantelzorgers (onder andere veiligheid en waar de belangrijkste spullen liggen, zoals documenten en hulpmiddelen).</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 xml:space="preserve">11d Begeleidt mantelzorgers in de omgang met de cliënt en inzicht en acceptatie van zijn ziektebeeld. </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11 e Biedt emotionele ondersteuning aan mantelzorgers en luistert goed naar hen en biedt begeleiding in het rouwproces/omgaan met het verlies.</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 xml:space="preserve">11f Verwijst mantelzorgers naar andere instanties, instellingen, vormen van informatie en steun (onder andere PG- café, Alzheimer café, lotgenotencontact en GGZ). </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r w:rsidR="00620635" w:rsidRPr="00E25DE3" w:rsidTr="008105D1">
        <w:tc>
          <w:tcPr>
            <w:tcW w:w="6629"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spacing w:after="0" w:line="240" w:lineRule="auto"/>
              <w:rPr>
                <w:rFonts w:cs="Arial"/>
                <w:sz w:val="24"/>
                <w:szCs w:val="24"/>
              </w:rPr>
            </w:pPr>
            <w:r w:rsidRPr="00E25DE3">
              <w:rPr>
                <w:rFonts w:cs="Arial"/>
                <w:sz w:val="24"/>
                <w:szCs w:val="24"/>
              </w:rPr>
              <w:t xml:space="preserve">11g Organiseert voorlichtings- en informatiebijeenkomsten voor mantelzorgers, bedoeld om informatie te geven over stadia/uitingsvormen van dementie maar ook om ervaringen met elkaar te delen en daarmee onderlinge steun te organiseren. </w:t>
            </w:r>
          </w:p>
        </w:tc>
        <w:tc>
          <w:tcPr>
            <w:tcW w:w="1418"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rFonts w:cs="Arial"/>
                <w:sz w:val="24"/>
                <w:szCs w:val="24"/>
              </w:rPr>
            </w:pPr>
          </w:p>
        </w:tc>
        <w:tc>
          <w:tcPr>
            <w:tcW w:w="4394" w:type="dxa"/>
            <w:tcBorders>
              <w:top w:val="single" w:sz="4" w:space="0" w:color="auto"/>
              <w:left w:val="single" w:sz="4" w:space="0" w:color="auto"/>
              <w:bottom w:val="single" w:sz="4" w:space="0" w:color="auto"/>
              <w:right w:val="single" w:sz="4" w:space="0" w:color="auto"/>
            </w:tcBorders>
          </w:tcPr>
          <w:p w:rsidR="00620635" w:rsidRPr="00E25DE3" w:rsidRDefault="00620635" w:rsidP="008105D1">
            <w:pPr>
              <w:autoSpaceDE w:val="0"/>
              <w:autoSpaceDN w:val="0"/>
              <w:adjustRightInd w:val="0"/>
              <w:spacing w:after="0" w:line="240" w:lineRule="auto"/>
              <w:rPr>
                <w:sz w:val="24"/>
                <w:szCs w:val="24"/>
              </w:rPr>
            </w:pPr>
          </w:p>
        </w:tc>
      </w:tr>
    </w:tbl>
    <w:p w:rsidR="00135814" w:rsidRDefault="00135814"/>
    <w:sectPr w:rsidR="00135814" w:rsidSect="00620635">
      <w:pgSz w:w="16840" w:h="11900" w:orient="landscape"/>
      <w:pgMar w:top="1417" w:right="1417" w:bottom="1417" w:left="141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35"/>
    <w:rsid w:val="00135814"/>
    <w:rsid w:val="00620635"/>
    <w:rsid w:val="00766C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3E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0635"/>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620635"/>
    <w:pPr>
      <w:keepNext/>
      <w:keepLines/>
      <w:spacing w:after="0"/>
      <w:outlineLvl w:val="0"/>
    </w:pPr>
    <w:rPr>
      <w:rFonts w:eastAsia="MS Gothic"/>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20635"/>
    <w:rPr>
      <w:rFonts w:ascii="Calibri" w:eastAsia="MS Gothic" w:hAnsi="Calibri" w:cs="Times New Roman"/>
      <w:b/>
      <w:bCs/>
      <w:sz w:val="36"/>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0635"/>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620635"/>
    <w:pPr>
      <w:keepNext/>
      <w:keepLines/>
      <w:spacing w:after="0"/>
      <w:outlineLvl w:val="0"/>
    </w:pPr>
    <w:rPr>
      <w:rFonts w:eastAsia="MS Gothic"/>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20635"/>
    <w:rPr>
      <w:rFonts w:ascii="Calibri" w:eastAsia="MS Gothic" w:hAnsi="Calibri" w:cs="Times New Roman"/>
      <w:b/>
      <w:bCs/>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2234</Characters>
  <Application>Microsoft Macintosh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AVZN</dc:creator>
  <cp:keywords/>
  <dc:description/>
  <cp:lastModifiedBy>AVZN</cp:lastModifiedBy>
  <cp:revision>1</cp:revision>
  <dcterms:created xsi:type="dcterms:W3CDTF">2018-06-14T13:36:00Z</dcterms:created>
  <dcterms:modified xsi:type="dcterms:W3CDTF">2018-06-14T13:36:00Z</dcterms:modified>
</cp:coreProperties>
</file>