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3F" w:rsidRPr="00E25DE3" w:rsidRDefault="004D7B3F" w:rsidP="004D7B3F">
      <w:pPr>
        <w:pStyle w:val="Kop1"/>
      </w:pPr>
      <w:r w:rsidRPr="00E25DE3">
        <w:t>Competentiecheck Module 1 Vakdeskundigheid</w:t>
      </w:r>
    </w:p>
    <w:p w:rsidR="004D7B3F" w:rsidRPr="00E25DE3" w:rsidRDefault="004D7B3F" w:rsidP="004D7B3F">
      <w:pPr>
        <w:spacing w:after="0" w:line="240" w:lineRule="auto"/>
        <w:rPr>
          <w:rFonts w:cs="Arial"/>
          <w:sz w:val="24"/>
          <w:szCs w:val="24"/>
        </w:rPr>
      </w:pPr>
      <w:r w:rsidRPr="00E25DE3">
        <w:rPr>
          <w:rFonts w:cs="Arial"/>
          <w:sz w:val="24"/>
          <w:szCs w:val="24"/>
        </w:rPr>
        <w:t>(formulier digitaal downloaden op avzn.nl)</w:t>
      </w:r>
    </w:p>
    <w:p w:rsidR="004D7B3F" w:rsidRPr="00E25DE3" w:rsidRDefault="004D7B3F" w:rsidP="004D7B3F">
      <w:pPr>
        <w:spacing w:after="0" w:line="240" w:lineRule="auto"/>
        <w:rPr>
          <w:i/>
          <w:sz w:val="24"/>
          <w:szCs w:val="24"/>
        </w:rPr>
      </w:pPr>
      <w:r w:rsidRPr="00E25DE3">
        <w:rPr>
          <w:i/>
          <w:sz w:val="24"/>
          <w:szCs w:val="24"/>
        </w:rPr>
        <w:t>Competenties en succescriteria Module 1</w:t>
      </w:r>
    </w:p>
    <w:p w:rsidR="004D7B3F" w:rsidRPr="00E25DE3" w:rsidRDefault="004D7B3F" w:rsidP="004D7B3F">
      <w:pPr>
        <w:spacing w:after="0" w:line="240" w:lineRule="auto"/>
        <w:rPr>
          <w:rFonts w:cs="Arial"/>
          <w:sz w:val="24"/>
          <w:szCs w:val="24"/>
        </w:rPr>
      </w:pPr>
    </w:p>
    <w:p w:rsidR="004D7B3F" w:rsidRDefault="004D7B3F" w:rsidP="004D7B3F">
      <w:pPr>
        <w:spacing w:after="0" w:line="240" w:lineRule="auto"/>
        <w:rPr>
          <w:rFonts w:cs="Arial"/>
          <w:sz w:val="24"/>
          <w:szCs w:val="24"/>
        </w:rPr>
      </w:pPr>
      <w:r>
        <w:rPr>
          <w:rFonts w:cs="Arial"/>
          <w:sz w:val="24"/>
          <w:szCs w:val="24"/>
        </w:rPr>
        <w:t>Lees de studiegids H4 Leren en ontwikkelen.</w:t>
      </w:r>
    </w:p>
    <w:p w:rsidR="004D7B3F" w:rsidRDefault="004D7B3F" w:rsidP="004D7B3F">
      <w:pPr>
        <w:spacing w:after="0" w:line="240" w:lineRule="auto"/>
        <w:rPr>
          <w:rFonts w:cs="Arial"/>
          <w:sz w:val="24"/>
          <w:szCs w:val="24"/>
        </w:rPr>
      </w:pPr>
      <w:r>
        <w:rPr>
          <w:rFonts w:cs="Arial"/>
          <w:sz w:val="24"/>
          <w:szCs w:val="24"/>
        </w:rPr>
        <w:t>Het doel van de competentiecheck is om per module je beginsituatie vast te stellen. Waar sta je aan de start van deze module?</w:t>
      </w:r>
    </w:p>
    <w:p w:rsidR="004D7B3F" w:rsidRDefault="004D7B3F" w:rsidP="004D7B3F">
      <w:pPr>
        <w:spacing w:after="0" w:line="240" w:lineRule="auto"/>
        <w:rPr>
          <w:rFonts w:cs="Arial"/>
          <w:sz w:val="24"/>
          <w:szCs w:val="24"/>
        </w:rPr>
      </w:pPr>
      <w:r>
        <w:rPr>
          <w:rFonts w:cs="Arial"/>
          <w:sz w:val="24"/>
          <w:szCs w:val="24"/>
        </w:rPr>
        <w:t>Daarnaast is het een manier om je te focussen op de, te ontwikkelen competenties, in deze module.</w:t>
      </w:r>
    </w:p>
    <w:p w:rsidR="004D7B3F" w:rsidRPr="00E25DE3" w:rsidRDefault="004D7B3F" w:rsidP="004D7B3F">
      <w:pPr>
        <w:spacing w:after="0" w:line="240" w:lineRule="auto"/>
        <w:rPr>
          <w:rFonts w:cs="Arial"/>
          <w:sz w:val="24"/>
          <w:szCs w:val="24"/>
        </w:rPr>
      </w:pPr>
      <w:r w:rsidRPr="00E25DE3">
        <w:rPr>
          <w:rFonts w:cs="Arial"/>
          <w:sz w:val="24"/>
          <w:szCs w:val="24"/>
        </w:rPr>
        <w:t>Doe de competentiecheck.</w:t>
      </w:r>
      <w:r>
        <w:rPr>
          <w:rFonts w:cs="Arial"/>
          <w:sz w:val="24"/>
          <w:szCs w:val="24"/>
        </w:rPr>
        <w:t xml:space="preserve"> Ga vervolgens in gesprek met je begeleider over deze competentiecheck en jouw ontwikkeling en leerproces.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0"/>
        <w:gridCol w:w="1418"/>
        <w:gridCol w:w="5954"/>
      </w:tblGrid>
      <w:tr w:rsidR="004D7B3F" w:rsidRPr="00E25DE3" w:rsidTr="004D7B3F">
        <w:tc>
          <w:tcPr>
            <w:tcW w:w="6770" w:type="dxa"/>
            <w:shd w:val="clear" w:color="auto" w:fill="C6D9F1" w:themeFill="text2" w:themeFillTint="33"/>
          </w:tcPr>
          <w:p w:rsidR="004D7B3F" w:rsidRPr="00E25DE3" w:rsidRDefault="004D7B3F" w:rsidP="008105D1">
            <w:pPr>
              <w:spacing w:after="0" w:line="240" w:lineRule="auto"/>
              <w:rPr>
                <w:rFonts w:cs="Arial"/>
                <w:b/>
                <w:bCs/>
                <w:sz w:val="24"/>
                <w:szCs w:val="24"/>
              </w:rPr>
            </w:pPr>
            <w:r w:rsidRPr="00E25DE3">
              <w:rPr>
                <w:rFonts w:cs="Arial"/>
                <w:b/>
                <w:bCs/>
                <w:sz w:val="24"/>
                <w:szCs w:val="24"/>
              </w:rPr>
              <w:t>Competentie 1</w:t>
            </w:r>
          </w:p>
          <w:p w:rsidR="004D7B3F" w:rsidRPr="00E25DE3" w:rsidRDefault="004D7B3F" w:rsidP="008105D1">
            <w:pPr>
              <w:spacing w:after="0" w:line="240" w:lineRule="auto"/>
              <w:rPr>
                <w:rFonts w:cs="Arial"/>
                <w:b/>
                <w:bCs/>
                <w:sz w:val="24"/>
                <w:szCs w:val="24"/>
              </w:rPr>
            </w:pPr>
            <w:r w:rsidRPr="00E25DE3">
              <w:rPr>
                <w:rFonts w:cs="Arial"/>
                <w:b/>
                <w:bCs/>
                <w:sz w:val="24"/>
                <w:szCs w:val="24"/>
              </w:rPr>
              <w:t>Zorg voor kwaliteit van leven van psychogeriatrische cliënten</w:t>
            </w:r>
          </w:p>
        </w:tc>
        <w:tc>
          <w:tcPr>
            <w:tcW w:w="1418" w:type="dxa"/>
            <w:shd w:val="clear" w:color="auto" w:fill="C6D9F1" w:themeFill="text2" w:themeFillTint="33"/>
          </w:tcPr>
          <w:p w:rsidR="004D7B3F" w:rsidRPr="00E25DE3" w:rsidRDefault="004D7B3F" w:rsidP="008105D1">
            <w:pPr>
              <w:spacing w:after="0" w:line="240" w:lineRule="auto"/>
              <w:rPr>
                <w:rFonts w:cs="Arial"/>
                <w:b/>
                <w:bCs/>
                <w:sz w:val="24"/>
                <w:szCs w:val="24"/>
              </w:rPr>
            </w:pPr>
            <w:r>
              <w:rPr>
                <w:rFonts w:cs="Arial"/>
                <w:b/>
                <w:bCs/>
                <w:sz w:val="24"/>
                <w:szCs w:val="24"/>
              </w:rPr>
              <w:t>Score d</w:t>
            </w:r>
            <w:r w:rsidRPr="00E25DE3">
              <w:rPr>
                <w:rFonts w:cs="Arial"/>
                <w:b/>
                <w:bCs/>
                <w:sz w:val="24"/>
                <w:szCs w:val="24"/>
              </w:rPr>
              <w:t xml:space="preserve">eelnemer </w:t>
            </w:r>
          </w:p>
        </w:tc>
        <w:tc>
          <w:tcPr>
            <w:tcW w:w="5954" w:type="dxa"/>
            <w:shd w:val="clear" w:color="auto" w:fill="C6D9F1" w:themeFill="text2" w:themeFillTint="33"/>
          </w:tcPr>
          <w:p w:rsidR="004D7B3F" w:rsidRPr="00E25DE3" w:rsidRDefault="004D7B3F" w:rsidP="008105D1">
            <w:pPr>
              <w:spacing w:after="0" w:line="240" w:lineRule="auto"/>
              <w:rPr>
                <w:rFonts w:cs="Arial"/>
                <w:b/>
                <w:bCs/>
                <w:sz w:val="24"/>
                <w:szCs w:val="24"/>
              </w:rPr>
            </w:pPr>
            <w:r w:rsidRPr="00E25DE3">
              <w:rPr>
                <w:rFonts w:cs="Arial"/>
                <w:b/>
                <w:bCs/>
                <w:sz w:val="24"/>
                <w:szCs w:val="24"/>
              </w:rPr>
              <w:t>Wat wanneer waar wie hoe ontwikkelen?</w:t>
            </w:r>
          </w:p>
        </w:tc>
      </w:tr>
      <w:tr w:rsidR="004D7B3F" w:rsidRPr="00E25DE3" w:rsidTr="004D7B3F">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sz w:val="24"/>
                <w:szCs w:val="24"/>
              </w:rPr>
            </w:pPr>
            <w:r w:rsidRPr="00E25DE3">
              <w:rPr>
                <w:rFonts w:cs="Arial"/>
                <w:b/>
                <w:sz w:val="24"/>
                <w:szCs w:val="24"/>
              </w:rPr>
              <w:t xml:space="preserve">Succescriteria: Proces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sz w:val="24"/>
                <w:szCs w:val="24"/>
              </w:rPr>
            </w:pPr>
            <w:r>
              <w:rPr>
                <w:rFonts w:cs="Arial"/>
                <w:b/>
                <w:sz w:val="24"/>
                <w:szCs w:val="24"/>
              </w:rPr>
              <w:t>1-10</w:t>
            </w:r>
          </w:p>
        </w:tc>
        <w:tc>
          <w:tcPr>
            <w:tcW w:w="59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sz w:val="24"/>
                <w:szCs w:val="24"/>
              </w:rPr>
            </w:pPr>
          </w:p>
        </w:tc>
      </w:tr>
      <w:tr w:rsidR="004D7B3F" w:rsidRPr="00E25DE3" w:rsidTr="008105D1">
        <w:tc>
          <w:tcPr>
            <w:tcW w:w="6770" w:type="dxa"/>
          </w:tcPr>
          <w:p w:rsidR="004D7B3F" w:rsidRPr="00E25DE3" w:rsidRDefault="004D7B3F" w:rsidP="008105D1">
            <w:pPr>
              <w:autoSpaceDE w:val="0"/>
              <w:autoSpaceDN w:val="0"/>
              <w:adjustRightInd w:val="0"/>
              <w:spacing w:after="0" w:line="240" w:lineRule="auto"/>
              <w:rPr>
                <w:sz w:val="24"/>
                <w:szCs w:val="24"/>
              </w:rPr>
            </w:pPr>
            <w:r w:rsidRPr="00E25DE3">
              <w:rPr>
                <w:sz w:val="24"/>
                <w:szCs w:val="24"/>
              </w:rPr>
              <w:t>1a Bespreekt met de cliënt en/of mantelzorgers de levensgeschiedenis (identiteit, persoonlijkheid, achtergrond, normen en waarden, beeldmateriaal), om een cliënt beter te kunnen begrijpen en contact te maken en de zorg, omstandigheden en activiteiten hierop af te stemmen.</w:t>
            </w:r>
          </w:p>
        </w:tc>
        <w:tc>
          <w:tcPr>
            <w:tcW w:w="1418" w:type="dxa"/>
          </w:tcPr>
          <w:p w:rsidR="004D7B3F" w:rsidRPr="00E25DE3" w:rsidRDefault="004D7B3F" w:rsidP="008105D1">
            <w:pPr>
              <w:autoSpaceDE w:val="0"/>
              <w:autoSpaceDN w:val="0"/>
              <w:adjustRightInd w:val="0"/>
              <w:spacing w:after="0" w:line="240" w:lineRule="auto"/>
              <w:rPr>
                <w:sz w:val="24"/>
                <w:szCs w:val="24"/>
              </w:rPr>
            </w:pPr>
          </w:p>
        </w:tc>
        <w:tc>
          <w:tcPr>
            <w:tcW w:w="5954" w:type="dxa"/>
          </w:tcPr>
          <w:p w:rsidR="004D7B3F" w:rsidRPr="00E25DE3" w:rsidRDefault="004D7B3F" w:rsidP="008105D1">
            <w:pPr>
              <w:autoSpaceDE w:val="0"/>
              <w:autoSpaceDN w:val="0"/>
              <w:adjustRightInd w:val="0"/>
              <w:spacing w:after="0" w:line="240" w:lineRule="auto"/>
              <w:rPr>
                <w:sz w:val="24"/>
                <w:szCs w:val="24"/>
              </w:rPr>
            </w:pPr>
          </w:p>
        </w:tc>
      </w:tr>
      <w:tr w:rsidR="004D7B3F" w:rsidRPr="00E25DE3" w:rsidTr="004D7B3F">
        <w:tc>
          <w:tcPr>
            <w:tcW w:w="6770" w:type="dxa"/>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bCs/>
                <w:sz w:val="24"/>
                <w:szCs w:val="24"/>
              </w:rPr>
            </w:pPr>
            <w:r w:rsidRPr="00E25DE3">
              <w:rPr>
                <w:rFonts w:cs="Arial"/>
                <w:b/>
                <w:bCs/>
                <w:sz w:val="24"/>
                <w:szCs w:val="24"/>
              </w:rPr>
              <w:t>Competentie 3</w:t>
            </w:r>
          </w:p>
          <w:p w:rsidR="004D7B3F" w:rsidRPr="00E25DE3" w:rsidRDefault="004D7B3F" w:rsidP="008105D1">
            <w:pPr>
              <w:autoSpaceDE w:val="0"/>
              <w:autoSpaceDN w:val="0"/>
              <w:adjustRightInd w:val="0"/>
              <w:spacing w:after="0" w:line="240" w:lineRule="auto"/>
              <w:rPr>
                <w:rFonts w:cs="Arial"/>
                <w:b/>
                <w:bCs/>
                <w:sz w:val="24"/>
                <w:szCs w:val="24"/>
              </w:rPr>
            </w:pPr>
            <w:r w:rsidRPr="00E25DE3">
              <w:rPr>
                <w:rFonts w:cs="Arial"/>
                <w:b/>
                <w:bCs/>
                <w:sz w:val="24"/>
                <w:szCs w:val="24"/>
              </w:rPr>
              <w:t>Informatie verzamelen</w:t>
            </w:r>
          </w:p>
        </w:tc>
        <w:tc>
          <w:tcPr>
            <w:tcW w:w="1418" w:type="dxa"/>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bCs/>
                <w:sz w:val="24"/>
                <w:szCs w:val="24"/>
              </w:rPr>
            </w:pPr>
          </w:p>
        </w:tc>
        <w:tc>
          <w:tcPr>
            <w:tcW w:w="5954" w:type="dxa"/>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bCs/>
                <w:sz w:val="24"/>
                <w:szCs w:val="24"/>
              </w:rPr>
            </w:pPr>
          </w:p>
        </w:tc>
      </w:tr>
      <w:tr w:rsidR="004D7B3F" w:rsidRPr="00E25DE3" w:rsidTr="004D7B3F">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rFonts w:cs="Arial"/>
                <w:b/>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r w:rsidRPr="00E25DE3">
              <w:rPr>
                <w:sz w:val="24"/>
                <w:szCs w:val="24"/>
              </w:rPr>
              <w:t xml:space="preserve">3d Verzamelt informatie over de cliënt (achtergrond, wensen, gewoonten, behoeftes, gezondheid) uit diverse bronnen, zowel bij de cliënt en de mantelzorgers als bij andere zorgverleners, juist ook door observatie. </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4D7B3F">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r w:rsidRPr="00E25DE3">
              <w:rPr>
                <w:b/>
                <w:sz w:val="24"/>
                <w:szCs w:val="24"/>
              </w:rPr>
              <w:t>Competentie 7</w:t>
            </w:r>
          </w:p>
          <w:p w:rsidR="004D7B3F" w:rsidRPr="00E25DE3" w:rsidRDefault="004D7B3F" w:rsidP="008105D1">
            <w:pPr>
              <w:autoSpaceDE w:val="0"/>
              <w:autoSpaceDN w:val="0"/>
              <w:adjustRightInd w:val="0"/>
              <w:spacing w:after="0" w:line="240" w:lineRule="auto"/>
              <w:rPr>
                <w:b/>
                <w:sz w:val="24"/>
                <w:szCs w:val="24"/>
              </w:rPr>
            </w:pPr>
            <w:r w:rsidRPr="00E25DE3">
              <w:rPr>
                <w:b/>
                <w:sz w:val="24"/>
                <w:szCs w:val="24"/>
              </w:rPr>
              <w:t>Zorgvernieuwing en beleid</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p>
        </w:tc>
      </w:tr>
      <w:tr w:rsidR="004D7B3F" w:rsidRPr="00E25DE3" w:rsidTr="004D7B3F">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r w:rsidRPr="00E25DE3">
              <w:rPr>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b/>
                <w:sz w:val="24"/>
                <w:szCs w:val="24"/>
              </w:rPr>
            </w:pPr>
            <w:r w:rsidRPr="00E25DE3">
              <w:rPr>
                <w:sz w:val="24"/>
                <w:szCs w:val="24"/>
              </w:rPr>
              <w:t xml:space="preserve">7c De GVP bezoekt regionale en/of landelijke bijeenkomsten in het kader van vernieuwingen op het gebied van psychogeriatrie. </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4D7B3F">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spacing w:after="0" w:line="240" w:lineRule="auto"/>
              <w:rPr>
                <w:b/>
                <w:sz w:val="24"/>
                <w:szCs w:val="24"/>
              </w:rPr>
            </w:pPr>
            <w:r w:rsidRPr="00E25DE3">
              <w:rPr>
                <w:b/>
                <w:sz w:val="24"/>
                <w:szCs w:val="24"/>
              </w:rPr>
              <w:t>Competentie 9</w:t>
            </w:r>
          </w:p>
          <w:p w:rsidR="004D7B3F" w:rsidRPr="00E25DE3" w:rsidRDefault="004D7B3F" w:rsidP="008105D1">
            <w:pPr>
              <w:spacing w:after="0" w:line="240" w:lineRule="auto"/>
              <w:rPr>
                <w:b/>
                <w:sz w:val="24"/>
                <w:szCs w:val="24"/>
              </w:rPr>
            </w:pPr>
            <w:r w:rsidRPr="00E25DE3">
              <w:rPr>
                <w:b/>
                <w:sz w:val="24"/>
                <w:szCs w:val="24"/>
              </w:rPr>
              <w:lastRenderedPageBreak/>
              <w:t>I</w:t>
            </w:r>
            <w:bookmarkStart w:id="0" w:name="_GoBack"/>
            <w:bookmarkEnd w:id="0"/>
            <w:r w:rsidRPr="00E25DE3">
              <w:rPr>
                <w:b/>
                <w:sz w:val="24"/>
                <w:szCs w:val="24"/>
              </w:rPr>
              <w:t>nhoudelijke deskundigheid op het gebied van psychogeriatrie</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spacing w:after="0" w:line="240" w:lineRule="auto"/>
              <w:rPr>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spacing w:after="0" w:line="240" w:lineRule="auto"/>
              <w:rPr>
                <w:b/>
                <w:sz w:val="24"/>
                <w:szCs w:val="24"/>
              </w:rPr>
            </w:pPr>
          </w:p>
        </w:tc>
      </w:tr>
      <w:tr w:rsidR="004D7B3F" w:rsidRPr="00E25DE3" w:rsidTr="004D7B3F">
        <w:tc>
          <w:tcPr>
            <w:tcW w:w="67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r w:rsidRPr="00E25DE3">
              <w:rPr>
                <w:b/>
                <w:sz w:val="24"/>
                <w:szCs w:val="24"/>
              </w:rPr>
              <w:lastRenderedPageBreak/>
              <w:t xml:space="preserve">Succescriteria: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D7B3F" w:rsidRPr="00E25DE3" w:rsidRDefault="004D7B3F" w:rsidP="008105D1">
            <w:pPr>
              <w:autoSpaceDE w:val="0"/>
              <w:autoSpaceDN w:val="0"/>
              <w:adjustRightInd w:val="0"/>
              <w:spacing w:after="0" w:line="240" w:lineRule="auto"/>
              <w:rPr>
                <w:b/>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9a Kent de verschillende begrippen binnen de psychogeriatrie en hun verklaringen.</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 xml:space="preserve">9b Kent de verschillende aandoeningen/ziektebeelden, zoals Alzheimer, Vasculaire dementie, ziekte van Pick, Lewy Body dementie, Parkinson, Korsakov, Creutzfeldt-Jacob, delier en de gevolgen hiervan op gedrag en voor omgang. </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 xml:space="preserve">9c Kent begrippen als gerontologie, geriatrie, </w:t>
            </w:r>
            <w:proofErr w:type="spellStart"/>
            <w:r w:rsidRPr="00E25DE3">
              <w:rPr>
                <w:sz w:val="24"/>
                <w:szCs w:val="24"/>
              </w:rPr>
              <w:t>gerontopsychiatrie</w:t>
            </w:r>
            <w:proofErr w:type="spellEnd"/>
            <w:r w:rsidRPr="00E25DE3">
              <w:rPr>
                <w:sz w:val="24"/>
                <w:szCs w:val="24"/>
              </w:rPr>
              <w:t xml:space="preserve">, psychogerontologie en hun verklaringen. </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9d Kent de somatische aspecten van psychogeriatrie.</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9e Kent de gedragsaspecten bij de verschillende vormen van psychogeriatrie.</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9f Kent de verschillende stadia in de ontwikkeling van psychogeriatrie, in relatie tot de achterliggende aandoening.</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9g Heeft inzicht in de werking van het geheugen en de relatie hiervan met psychogeriatrie.</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9h Heeft inzicht in de meest voorkomende combinaties van aandoeningen bij psychogeriatrische cliënten.</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 xml:space="preserve">9i Heeft enige kennis van (geronto)psychiatrie, in het bijzonder van angsten, depressies en gedragsstoornissen die vooral bij ouderen voorkomen en de gevolgen hiervan op gedrag en voor de omgang. </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9j Heeft kennis van psychogeriatrie in relatie tot verstandelijke handicaps (zoals Down).</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 xml:space="preserve">9k Heeft enige kennis van psycho-motoriek (wat doet handelen voor de geest) en weet daardoor hoe belangrijk het verrichten van handelingen kan zijn voor psychogeriatrische cliënten. </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9n Heeft kennis van relevante medicatie en de gevolgen voor gedrag en stemmingen.</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9r Heeft kennis van ouderenzorg in andere culturen, van allochtonen (Turkije, Marokko en de Antillen) en de houding ten opzichte van psychogeriatrie en kan daardoor vooral het gedrag van mantelzorgers beter begrijpen.</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r w:rsidR="004D7B3F" w:rsidRPr="00E25DE3" w:rsidTr="008105D1">
        <w:tc>
          <w:tcPr>
            <w:tcW w:w="6770"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spacing w:after="0" w:line="240" w:lineRule="auto"/>
              <w:rPr>
                <w:sz w:val="24"/>
                <w:szCs w:val="24"/>
              </w:rPr>
            </w:pPr>
            <w:r w:rsidRPr="00E25DE3">
              <w:rPr>
                <w:sz w:val="24"/>
                <w:szCs w:val="24"/>
              </w:rPr>
              <w:t xml:space="preserve">9s Heeft enige kennis van de impact van verschillende levensstijlen, seksuele geaardheid, religieuze achtergronden en culturen op gedrag en voorkeuren van de cliënt en van de mantelzorger (de impact hiervan is lastiger waar te nemen en te voorspellen bij psychogeriatrische cliënten en kan vooral in ongeremd gedrag naar voren komen). </w:t>
            </w:r>
          </w:p>
        </w:tc>
        <w:tc>
          <w:tcPr>
            <w:tcW w:w="1418"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tcPr>
          <w:p w:rsidR="004D7B3F" w:rsidRPr="00E25DE3" w:rsidRDefault="004D7B3F" w:rsidP="008105D1">
            <w:pPr>
              <w:autoSpaceDE w:val="0"/>
              <w:autoSpaceDN w:val="0"/>
              <w:adjustRightInd w:val="0"/>
              <w:spacing w:after="0" w:line="240" w:lineRule="auto"/>
              <w:rPr>
                <w:sz w:val="24"/>
                <w:szCs w:val="24"/>
              </w:rPr>
            </w:pPr>
          </w:p>
        </w:tc>
      </w:tr>
    </w:tbl>
    <w:p w:rsidR="004D7B3F" w:rsidRPr="00E25DE3" w:rsidRDefault="004D7B3F" w:rsidP="004D7B3F">
      <w:pPr>
        <w:spacing w:after="0" w:line="240" w:lineRule="auto"/>
        <w:rPr>
          <w:sz w:val="24"/>
          <w:szCs w:val="24"/>
        </w:rPr>
      </w:pPr>
    </w:p>
    <w:p w:rsidR="00135814" w:rsidRDefault="00135814"/>
    <w:sectPr w:rsidR="00135814" w:rsidSect="004D7B3F">
      <w:pgSz w:w="16840" w:h="11900" w:orient="landscape"/>
      <w:pgMar w:top="1417" w:right="1417" w:bottom="1417" w:left="141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3F"/>
    <w:rsid w:val="00135814"/>
    <w:rsid w:val="004D7B3F"/>
    <w:rsid w:val="00766C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3E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B3F"/>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4D7B3F"/>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D7B3F"/>
    <w:rPr>
      <w:rFonts w:ascii="Calibri" w:eastAsia="MS Gothic" w:hAnsi="Calibri" w:cs="Times New Roman"/>
      <w:b/>
      <w:bCs/>
      <w:sz w:val="36"/>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B3F"/>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4D7B3F"/>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D7B3F"/>
    <w:rPr>
      <w:rFonts w:ascii="Calibri" w:eastAsia="MS Gothic" w:hAnsi="Calibri" w:cs="Times New Roman"/>
      <w:b/>
      <w:bCs/>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2990</Characters>
  <Application>Microsoft Macintosh Word</Application>
  <DocSecurity>0</DocSecurity>
  <Lines>24</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AVZN</dc:creator>
  <cp:keywords/>
  <dc:description/>
  <cp:lastModifiedBy>AVZN</cp:lastModifiedBy>
  <cp:revision>1</cp:revision>
  <dcterms:created xsi:type="dcterms:W3CDTF">2018-06-14T13:34:00Z</dcterms:created>
  <dcterms:modified xsi:type="dcterms:W3CDTF">2018-06-14T13:35:00Z</dcterms:modified>
</cp:coreProperties>
</file>